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2180" w14:textId="77777777" w:rsidR="009744C2" w:rsidRPr="009744C2" w:rsidRDefault="009744C2" w:rsidP="009744C2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9744C2">
        <w:rPr>
          <w:rFonts w:cstheme="minorHAnsi"/>
          <w:b/>
          <w:bCs/>
          <w:sz w:val="32"/>
          <w:szCs w:val="32"/>
          <w:u w:val="single"/>
        </w:rPr>
        <w:t>SECURITY GRANT GUIDELINES</w:t>
      </w:r>
    </w:p>
    <w:p w14:paraId="4DD3F228" w14:textId="77777777" w:rsidR="009744C2" w:rsidRPr="009744C2" w:rsidRDefault="009744C2" w:rsidP="009744C2">
      <w:pPr>
        <w:jc w:val="center"/>
        <w:rPr>
          <w:rFonts w:cstheme="minorHAnsi"/>
          <w:i/>
          <w:iCs/>
          <w:sz w:val="32"/>
          <w:szCs w:val="32"/>
        </w:rPr>
      </w:pPr>
      <w:r w:rsidRPr="009744C2">
        <w:rPr>
          <w:rFonts w:cstheme="minorHAnsi"/>
          <w:i/>
          <w:iCs/>
          <w:sz w:val="32"/>
          <w:szCs w:val="32"/>
        </w:rPr>
        <w:t>South Dakota Unified Judicial System</w:t>
      </w:r>
    </w:p>
    <w:p w14:paraId="56FDCD62" w14:textId="77777777" w:rsidR="009744C2" w:rsidRPr="009744C2" w:rsidRDefault="009744C2" w:rsidP="009744C2">
      <w:pPr>
        <w:jc w:val="center"/>
        <w:rPr>
          <w:rFonts w:cstheme="minorHAnsi"/>
          <w:i/>
          <w:iCs/>
          <w:sz w:val="32"/>
          <w:szCs w:val="32"/>
        </w:rPr>
      </w:pPr>
      <w:r w:rsidRPr="009744C2">
        <w:rPr>
          <w:rFonts w:cstheme="minorHAnsi"/>
          <w:i/>
          <w:iCs/>
          <w:sz w:val="32"/>
          <w:szCs w:val="32"/>
        </w:rPr>
        <w:t>State Court Administrator’s Office</w:t>
      </w:r>
    </w:p>
    <w:p w14:paraId="61BD152C" w14:textId="5F1DEF15" w:rsidR="009744C2" w:rsidRPr="009744C2" w:rsidRDefault="009744C2" w:rsidP="009744C2">
      <w:pPr>
        <w:jc w:val="center"/>
        <w:rPr>
          <w:rFonts w:cstheme="minorHAnsi"/>
          <w:sz w:val="24"/>
          <w:szCs w:val="24"/>
        </w:rPr>
      </w:pPr>
      <w:r w:rsidRPr="009744C2">
        <w:rPr>
          <w:rFonts w:cstheme="minorHAnsi"/>
          <w:sz w:val="24"/>
          <w:szCs w:val="24"/>
        </w:rPr>
        <w:t>*Effective July 1, 2022</w:t>
      </w:r>
    </w:p>
    <w:p w14:paraId="1A69D099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2DE21A65" w14:textId="7B77656F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>PURPOSE</w:t>
      </w:r>
    </w:p>
    <w:p w14:paraId="2E7B521B" w14:textId="77777777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</w:p>
    <w:p w14:paraId="561B4D43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The South Dakota Unified Judicial System (UJS) recognizes the importance of</w:t>
      </w:r>
    </w:p>
    <w:p w14:paraId="706FE27F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grant funding as an effective mechanism for supporting the implementation of</w:t>
      </w:r>
    </w:p>
    <w:p w14:paraId="34CD8A4E" w14:textId="01B2A11E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security measures across the state. Within the UJS, the State Court</w:t>
      </w:r>
      <w:r w:rsidR="00037651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Administrator’s Office administers security grants to counties to assist with the</w:t>
      </w:r>
    </w:p>
    <w:p w14:paraId="4C3F9BC4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implementation of security measures. The grant program is intended to allow</w:t>
      </w:r>
    </w:p>
    <w:p w14:paraId="44BD2413" w14:textId="007BEDE6" w:rsid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counties to address courthouse security measures to improve the safety and security</w:t>
      </w:r>
      <w:r w:rsidR="00ED63D9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 xml:space="preserve">of the public, litigants, witnesses, </w:t>
      </w:r>
      <w:r w:rsidR="00D61902" w:rsidRPr="009744C2">
        <w:rPr>
          <w:rFonts w:cstheme="minorHAnsi"/>
          <w:sz w:val="28"/>
          <w:szCs w:val="28"/>
        </w:rPr>
        <w:t>attorneys,</w:t>
      </w:r>
      <w:r w:rsidRPr="009744C2">
        <w:rPr>
          <w:rFonts w:cstheme="minorHAnsi"/>
          <w:sz w:val="28"/>
          <w:szCs w:val="28"/>
        </w:rPr>
        <w:t xml:space="preserve"> and courthouse staff. We gratefully</w:t>
      </w:r>
      <w:r w:rsidR="00ED63D9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acknowledge the executive and legislative branches’ support of these objectives.</w:t>
      </w:r>
    </w:p>
    <w:p w14:paraId="26D2F0F3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271DBCA1" w14:textId="05726163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>BACKGROUND</w:t>
      </w:r>
    </w:p>
    <w:p w14:paraId="100ED4E8" w14:textId="77777777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</w:p>
    <w:p w14:paraId="3ADA2A28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The UJS received $5 million dollars in one-time funding from the Legislature</w:t>
      </w:r>
    </w:p>
    <w:p w14:paraId="566241F0" w14:textId="092ADAF2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during the 2022 legislative session to enhance the court security grant program that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the UJS has been administering for the last several years. That program was well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received by the counties and supported numerous projects across the state.</w:t>
      </w:r>
    </w:p>
    <w:p w14:paraId="12886F01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However, it was limited by an appropriation amount of only $10,000 per year. The</w:t>
      </w:r>
    </w:p>
    <w:p w14:paraId="17173289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UJS now has authority to authorize grants totaling $1.5 million dollars per year</w:t>
      </w:r>
    </w:p>
    <w:p w14:paraId="6FFA7BF2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from the court security grant program beginning July 1, 2022. There is no set</w:t>
      </w:r>
    </w:p>
    <w:p w14:paraId="408582B3" w14:textId="28189303" w:rsid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amount or timeframe to approve the expenditures from this fund. Those funds will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be deliberately administered to achieve impactful security measures statewide as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security programs in county courthouses continue to develop in coordination with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the work of the Statewide Court Security Committee.</w:t>
      </w:r>
    </w:p>
    <w:p w14:paraId="51CC9210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5CF3DF13" w14:textId="77777777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>MATCHING AMOUNT</w:t>
      </w:r>
    </w:p>
    <w:p w14:paraId="018D62EB" w14:textId="77777777" w:rsidR="009744C2" w:rsidRDefault="009744C2" w:rsidP="009744C2">
      <w:pPr>
        <w:rPr>
          <w:rFonts w:cstheme="minorHAnsi"/>
          <w:sz w:val="28"/>
          <w:szCs w:val="28"/>
        </w:rPr>
      </w:pPr>
    </w:p>
    <w:p w14:paraId="12C1B1C6" w14:textId="0421E775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 xml:space="preserve">The grant will provide a 75% UJS match for approved projects. </w:t>
      </w:r>
      <w:r w:rsidR="00E94A22">
        <w:rPr>
          <w:rFonts w:cstheme="minorHAnsi"/>
          <w:sz w:val="28"/>
          <w:szCs w:val="28"/>
        </w:rPr>
        <w:t xml:space="preserve">The maximum award is $350,000 per fiscal year per county. </w:t>
      </w:r>
      <w:r w:rsidRPr="009744C2">
        <w:rPr>
          <w:rFonts w:cstheme="minorHAnsi"/>
          <w:sz w:val="28"/>
          <w:szCs w:val="28"/>
        </w:rPr>
        <w:t>Counties will be</w:t>
      </w:r>
    </w:p>
    <w:p w14:paraId="2BCDB28D" w14:textId="300C4917" w:rsid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responsible for the remaining 25% of the project costs.</w:t>
      </w:r>
    </w:p>
    <w:p w14:paraId="625CCE45" w14:textId="1D6221E2" w:rsidR="009744C2" w:rsidRDefault="009744C2" w:rsidP="009744C2">
      <w:pPr>
        <w:rPr>
          <w:rFonts w:cstheme="minorHAnsi"/>
          <w:sz w:val="28"/>
          <w:szCs w:val="28"/>
        </w:rPr>
      </w:pPr>
    </w:p>
    <w:p w14:paraId="58BA9565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0D4798DA" w14:textId="090229AC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>GRANT GUIDELINES</w:t>
      </w:r>
    </w:p>
    <w:p w14:paraId="33056721" w14:textId="77777777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</w:p>
    <w:p w14:paraId="0ACE8230" w14:textId="506B6400" w:rsid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 xml:space="preserve">Grant submissions will be reviewed by the </w:t>
      </w:r>
      <w:r w:rsidR="00A46183">
        <w:rPr>
          <w:rFonts w:cstheme="minorHAnsi"/>
          <w:sz w:val="28"/>
          <w:szCs w:val="28"/>
        </w:rPr>
        <w:t xml:space="preserve">Grant Review Committee, a subgroup of the </w:t>
      </w:r>
      <w:r w:rsidRPr="00A46183">
        <w:rPr>
          <w:rFonts w:cstheme="minorHAnsi"/>
          <w:sz w:val="28"/>
          <w:szCs w:val="28"/>
        </w:rPr>
        <w:t>Statewide Court Security Committee</w:t>
      </w:r>
      <w:r w:rsidRPr="009744C2">
        <w:rPr>
          <w:rFonts w:cstheme="minorHAnsi"/>
          <w:sz w:val="28"/>
          <w:szCs w:val="28"/>
        </w:rPr>
        <w:t>. All projects will be reviewed based on overall need and the value</w:t>
      </w:r>
      <w:r w:rsidR="00037651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of the project with respect to enhancing court security.</w:t>
      </w:r>
      <w:r w:rsidR="00F146F2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 xml:space="preserve">Grant applications will </w:t>
      </w:r>
      <w:r w:rsidR="00F146F2">
        <w:rPr>
          <w:rFonts w:cstheme="minorHAnsi"/>
          <w:sz w:val="28"/>
          <w:szCs w:val="28"/>
        </w:rPr>
        <w:t xml:space="preserve">be </w:t>
      </w:r>
      <w:r w:rsidRPr="009744C2">
        <w:rPr>
          <w:rFonts w:cstheme="minorHAnsi"/>
          <w:sz w:val="28"/>
          <w:szCs w:val="28"/>
        </w:rPr>
        <w:t>divided into two tiers based on the amount requested and on whether the county</w:t>
      </w:r>
      <w:r w:rsidR="00F146F2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has an appointed Courthouse Security Committee as delineated below. Priority wil</w:t>
      </w:r>
      <w:r>
        <w:rPr>
          <w:rFonts w:cstheme="minorHAnsi"/>
          <w:sz w:val="28"/>
          <w:szCs w:val="28"/>
        </w:rPr>
        <w:t xml:space="preserve">l </w:t>
      </w:r>
      <w:r w:rsidRPr="009744C2">
        <w:rPr>
          <w:rFonts w:cstheme="minorHAnsi"/>
          <w:sz w:val="28"/>
          <w:szCs w:val="28"/>
        </w:rPr>
        <w:t>be given to grants targeting essential courthouse security measures. All decisions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made relating to the award of a grant request are final and not subject to appeal.</w:t>
      </w:r>
    </w:p>
    <w:p w14:paraId="6701637A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2F650FC7" w14:textId="4E01F93C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 xml:space="preserve">FUNDING </w:t>
      </w:r>
    </w:p>
    <w:p w14:paraId="5B480CBD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531B22CD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Grant requests may be submitted anytime of the year and will be considered on a</w:t>
      </w:r>
    </w:p>
    <w:p w14:paraId="08A8C134" w14:textId="7D550010" w:rsid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 xml:space="preserve">regular basis by the </w:t>
      </w:r>
      <w:r w:rsidRPr="00A46183">
        <w:rPr>
          <w:rFonts w:cstheme="minorHAnsi"/>
          <w:sz w:val="28"/>
          <w:szCs w:val="28"/>
        </w:rPr>
        <w:t xml:space="preserve">Grant </w:t>
      </w:r>
      <w:r w:rsidR="00A46183" w:rsidRPr="00A46183">
        <w:rPr>
          <w:rFonts w:cstheme="minorHAnsi"/>
          <w:sz w:val="28"/>
          <w:szCs w:val="28"/>
        </w:rPr>
        <w:t>Review Committee</w:t>
      </w:r>
      <w:r w:rsidRPr="00A46183">
        <w:rPr>
          <w:rFonts w:cstheme="minorHAnsi"/>
          <w:sz w:val="28"/>
          <w:szCs w:val="28"/>
        </w:rPr>
        <w:t>.</w:t>
      </w:r>
      <w:r w:rsidRPr="009744C2">
        <w:rPr>
          <w:rFonts w:cstheme="minorHAnsi"/>
          <w:sz w:val="28"/>
          <w:szCs w:val="28"/>
        </w:rPr>
        <w:t xml:space="preserve"> All</w:t>
      </w:r>
      <w:r w:rsidR="00037651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grant request</w:t>
      </w:r>
      <w:r w:rsidR="006A59A3">
        <w:rPr>
          <w:rFonts w:cstheme="minorHAnsi"/>
          <w:sz w:val="28"/>
          <w:szCs w:val="28"/>
        </w:rPr>
        <w:t xml:space="preserve"> approvals</w:t>
      </w:r>
      <w:r w:rsidRPr="009744C2">
        <w:rPr>
          <w:rFonts w:cstheme="minorHAnsi"/>
          <w:sz w:val="28"/>
          <w:szCs w:val="28"/>
        </w:rPr>
        <w:t xml:space="preserve"> will be</w:t>
      </w:r>
      <w:r w:rsidR="00037651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dependent upon the availability of funds and must be in</w:t>
      </w:r>
      <w:r w:rsidR="00037651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furtherance of identifiable security objectives.</w:t>
      </w:r>
      <w:r w:rsidR="0059771B">
        <w:rPr>
          <w:rFonts w:cstheme="minorHAnsi"/>
          <w:sz w:val="28"/>
          <w:szCs w:val="28"/>
        </w:rPr>
        <w:t xml:space="preserve">  If the proposed project involves structural or other modifications that implicate historic preservation concerns</w:t>
      </w:r>
      <w:r w:rsidR="006A59A3">
        <w:rPr>
          <w:rFonts w:cstheme="minorHAnsi"/>
          <w:sz w:val="28"/>
          <w:szCs w:val="28"/>
        </w:rPr>
        <w:t>,</w:t>
      </w:r>
      <w:r w:rsidR="0059771B">
        <w:rPr>
          <w:rFonts w:cstheme="minorHAnsi"/>
          <w:sz w:val="28"/>
          <w:szCs w:val="28"/>
        </w:rPr>
        <w:t xml:space="preserve"> the </w:t>
      </w:r>
      <w:r w:rsidR="006A59A3" w:rsidRPr="00A46183">
        <w:rPr>
          <w:rFonts w:cstheme="minorHAnsi"/>
          <w:sz w:val="28"/>
          <w:szCs w:val="28"/>
        </w:rPr>
        <w:t xml:space="preserve">Grant </w:t>
      </w:r>
      <w:r w:rsidR="00A46183">
        <w:rPr>
          <w:rFonts w:cstheme="minorHAnsi"/>
          <w:sz w:val="28"/>
          <w:szCs w:val="28"/>
        </w:rPr>
        <w:t xml:space="preserve">Review Committee </w:t>
      </w:r>
      <w:r w:rsidR="0059771B">
        <w:rPr>
          <w:rFonts w:cstheme="minorHAnsi"/>
          <w:sz w:val="28"/>
          <w:szCs w:val="28"/>
        </w:rPr>
        <w:t xml:space="preserve">will consider funding </w:t>
      </w:r>
      <w:r w:rsidR="00682A8F">
        <w:rPr>
          <w:rFonts w:cstheme="minorHAnsi"/>
          <w:sz w:val="28"/>
          <w:szCs w:val="28"/>
        </w:rPr>
        <w:t xml:space="preserve">higher </w:t>
      </w:r>
      <w:r w:rsidR="0059771B">
        <w:rPr>
          <w:rFonts w:cstheme="minorHAnsi"/>
          <w:sz w:val="28"/>
          <w:szCs w:val="28"/>
        </w:rPr>
        <w:t>expenditures</w:t>
      </w:r>
      <w:r w:rsidR="00682A8F">
        <w:rPr>
          <w:rFonts w:cstheme="minorHAnsi"/>
          <w:sz w:val="28"/>
          <w:szCs w:val="28"/>
        </w:rPr>
        <w:t xml:space="preserve"> related to such concerns</w:t>
      </w:r>
      <w:r w:rsidR="006A59A3">
        <w:rPr>
          <w:rFonts w:cstheme="minorHAnsi"/>
          <w:sz w:val="28"/>
          <w:szCs w:val="28"/>
        </w:rPr>
        <w:t xml:space="preserve"> </w:t>
      </w:r>
      <w:r w:rsidR="0059771B">
        <w:rPr>
          <w:rFonts w:cstheme="minorHAnsi"/>
          <w:sz w:val="28"/>
          <w:szCs w:val="28"/>
        </w:rPr>
        <w:t>to the extent practicable.</w:t>
      </w:r>
    </w:p>
    <w:p w14:paraId="69CA7CFA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4D08A089" w14:textId="182960DC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>GRANT REQUEST ELIGIBILITY</w:t>
      </w:r>
    </w:p>
    <w:p w14:paraId="067589D4" w14:textId="77777777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</w:p>
    <w:p w14:paraId="7BE0DB92" w14:textId="6F222F7F" w:rsid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Any county can apply for a courthouse security grant (Tier One request). However,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only counties that have a Courthouse Security Committee (CSC) approved by the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Presiding Judge of the judicial circuit are eligible for Tier Two grant requests. Any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county may request creation of a multi-disciplinary CSC by contacting their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Presiding Judge to begin the process.</w:t>
      </w:r>
    </w:p>
    <w:p w14:paraId="0D84FC9F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7C545F14" w14:textId="41DC1F60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9744C2">
        <w:rPr>
          <w:rFonts w:cstheme="minorHAnsi"/>
          <w:b/>
          <w:bCs/>
          <w:sz w:val="28"/>
          <w:szCs w:val="28"/>
        </w:rPr>
        <w:t>TIER ONE GRANT REQUEST</w:t>
      </w:r>
    </w:p>
    <w:p w14:paraId="34AC87E2" w14:textId="77777777" w:rsidR="009744C2" w:rsidRPr="009744C2" w:rsidRDefault="009744C2" w:rsidP="009744C2">
      <w:pPr>
        <w:rPr>
          <w:rFonts w:cstheme="minorHAnsi"/>
          <w:b/>
          <w:bCs/>
          <w:sz w:val="28"/>
          <w:szCs w:val="28"/>
        </w:rPr>
      </w:pPr>
    </w:p>
    <w:p w14:paraId="61783429" w14:textId="77777777" w:rsidR="00037651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 xml:space="preserve">GRANT REQUESTS FOR A UJS MATCH </w:t>
      </w:r>
      <w:r w:rsidRPr="00D04957">
        <w:rPr>
          <w:rFonts w:cstheme="minorHAnsi"/>
          <w:sz w:val="28"/>
          <w:szCs w:val="28"/>
          <w:u w:val="single"/>
        </w:rPr>
        <w:t>UP TO $10,000</w:t>
      </w:r>
      <w:r w:rsidRPr="009744C2">
        <w:rPr>
          <w:rFonts w:cstheme="minorHAnsi"/>
          <w:sz w:val="28"/>
          <w:szCs w:val="28"/>
        </w:rPr>
        <w:t>.</w:t>
      </w:r>
    </w:p>
    <w:p w14:paraId="1A497A69" w14:textId="42E8364E" w:rsidR="009744C2" w:rsidRPr="009744C2" w:rsidRDefault="009744C2" w:rsidP="009744C2">
      <w:pPr>
        <w:rPr>
          <w:rFonts w:cstheme="minorHAnsi"/>
          <w:sz w:val="28"/>
          <w:szCs w:val="28"/>
        </w:rPr>
      </w:pPr>
      <w:r w:rsidRPr="00D04957">
        <w:rPr>
          <w:rFonts w:cstheme="minorHAnsi"/>
          <w:i/>
          <w:iCs/>
          <w:sz w:val="28"/>
          <w:szCs w:val="28"/>
        </w:rPr>
        <w:t>Eligibility</w:t>
      </w:r>
      <w:r w:rsidRPr="009744C2">
        <w:rPr>
          <w:rFonts w:cstheme="minorHAnsi"/>
          <w:sz w:val="28"/>
          <w:szCs w:val="28"/>
        </w:rPr>
        <w:t>:</w:t>
      </w:r>
    </w:p>
    <w:p w14:paraId="182B461D" w14:textId="0E3710B9" w:rsidR="009744C2" w:rsidRPr="009744C2" w:rsidRDefault="009744C2" w:rsidP="009744C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A county</w:t>
      </w:r>
      <w:r w:rsidR="00037651">
        <w:rPr>
          <w:rFonts w:cstheme="minorHAnsi"/>
          <w:sz w:val="28"/>
          <w:szCs w:val="28"/>
        </w:rPr>
        <w:t xml:space="preserve"> may apply for more than one </w:t>
      </w:r>
      <w:r w:rsidRPr="009744C2">
        <w:rPr>
          <w:rFonts w:cstheme="minorHAnsi"/>
          <w:sz w:val="28"/>
          <w:szCs w:val="28"/>
        </w:rPr>
        <w:t xml:space="preserve">Tier One request </w:t>
      </w:r>
      <w:r w:rsidR="00037651">
        <w:rPr>
          <w:rFonts w:cstheme="minorHAnsi"/>
          <w:sz w:val="28"/>
          <w:szCs w:val="28"/>
        </w:rPr>
        <w:t>d</w:t>
      </w:r>
      <w:r w:rsidRPr="009744C2">
        <w:rPr>
          <w:rFonts w:cstheme="minorHAnsi"/>
          <w:sz w:val="28"/>
          <w:szCs w:val="28"/>
        </w:rPr>
        <w:t>uring a fiscal year.</w:t>
      </w:r>
    </w:p>
    <w:p w14:paraId="2157D81D" w14:textId="4AA20E13" w:rsidR="009744C2" w:rsidRPr="009744C2" w:rsidRDefault="009744C2" w:rsidP="009744C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Supporting cost documentation must accompany the application and include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one or more reliable cost estimates.</w:t>
      </w:r>
    </w:p>
    <w:p w14:paraId="3D538299" w14:textId="165C4B09" w:rsidR="009744C2" w:rsidRPr="009744C2" w:rsidRDefault="009744C2" w:rsidP="009744C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lastRenderedPageBreak/>
        <w:t>An implementation report and certification will be required of grant</w:t>
      </w:r>
      <w:r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 xml:space="preserve">recipients and all expenditures must be verified after the award is made </w:t>
      </w:r>
      <w:r w:rsidR="00D04957" w:rsidRPr="009744C2">
        <w:rPr>
          <w:rFonts w:cstheme="minorHAnsi"/>
          <w:sz w:val="28"/>
          <w:szCs w:val="28"/>
        </w:rPr>
        <w:t>to</w:t>
      </w:r>
      <w:r w:rsidR="00D04957">
        <w:rPr>
          <w:rFonts w:cstheme="minorHAnsi"/>
          <w:sz w:val="28"/>
          <w:szCs w:val="28"/>
        </w:rPr>
        <w:t xml:space="preserve"> ensure</w:t>
      </w:r>
      <w:r w:rsidRPr="009744C2">
        <w:rPr>
          <w:rFonts w:cstheme="minorHAnsi"/>
          <w:sz w:val="28"/>
          <w:szCs w:val="28"/>
        </w:rPr>
        <w:t xml:space="preserve"> the funds are expended in accordance with the application.</w:t>
      </w:r>
    </w:p>
    <w:p w14:paraId="47C60E9C" w14:textId="77777777" w:rsidR="009744C2" w:rsidRPr="009744C2" w:rsidRDefault="009744C2" w:rsidP="009744C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Any request must be endorsed by the Presiding Judge of the judicial circuit.</w:t>
      </w:r>
    </w:p>
    <w:p w14:paraId="142B4726" w14:textId="77777777" w:rsidR="009744C2" w:rsidRPr="009744C2" w:rsidRDefault="009744C2" w:rsidP="009744C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Tier One requests will be funded for the following types of improvements:</w:t>
      </w:r>
    </w:p>
    <w:p w14:paraId="5B55336D" w14:textId="6F94A991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Duress alarm systems</w:t>
      </w:r>
    </w:p>
    <w:p w14:paraId="6EA2C665" w14:textId="6179AF40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Metal detectors</w:t>
      </w:r>
    </w:p>
    <w:p w14:paraId="75A1FCCF" w14:textId="3531A1D5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Locks and peepholes</w:t>
      </w:r>
    </w:p>
    <w:p w14:paraId="626C9599" w14:textId="16D29784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Ballistic paneling</w:t>
      </w:r>
    </w:p>
    <w:p w14:paraId="7AB3E6EB" w14:textId="41349D8F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Ballistic glass</w:t>
      </w:r>
    </w:p>
    <w:p w14:paraId="62AECB7E" w14:textId="7BB0B863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Security training</w:t>
      </w:r>
    </w:p>
    <w:p w14:paraId="66C18001" w14:textId="305834D9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Lighting</w:t>
      </w:r>
    </w:p>
    <w:p w14:paraId="2858A166" w14:textId="79C9F628" w:rsidR="009744C2" w:rsidRPr="009744C2" w:rsidRDefault="009744C2" w:rsidP="009744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Video surveillance equipment</w:t>
      </w:r>
    </w:p>
    <w:p w14:paraId="6B348345" w14:textId="0E2B7D7D" w:rsidR="009744C2" w:rsidRPr="009744C2" w:rsidRDefault="009744C2" w:rsidP="009744C2">
      <w:pPr>
        <w:pStyle w:val="ListParagraph"/>
        <w:numPr>
          <w:ilvl w:val="0"/>
          <w:numId w:val="4"/>
        </w:numPr>
        <w:rPr>
          <w:rFonts w:cstheme="minorHAnsi"/>
          <w:i/>
          <w:iCs/>
          <w:sz w:val="28"/>
          <w:szCs w:val="28"/>
        </w:rPr>
      </w:pPr>
      <w:r w:rsidRPr="009744C2">
        <w:rPr>
          <w:rFonts w:cstheme="minorHAnsi"/>
          <w:i/>
          <w:iCs/>
          <w:sz w:val="28"/>
          <w:szCs w:val="28"/>
        </w:rPr>
        <w:t xml:space="preserve">See </w:t>
      </w:r>
      <w:r w:rsidRPr="009744C2">
        <w:rPr>
          <w:rFonts w:cstheme="minorHAnsi"/>
          <w:b/>
          <w:bCs/>
          <w:i/>
          <w:iCs/>
          <w:sz w:val="28"/>
          <w:szCs w:val="28"/>
          <w:u w:val="single"/>
        </w:rPr>
        <w:t>Appendix A</w:t>
      </w:r>
      <w:r w:rsidRPr="009744C2">
        <w:rPr>
          <w:rFonts w:cstheme="minorHAnsi"/>
          <w:i/>
          <w:iCs/>
          <w:sz w:val="28"/>
          <w:szCs w:val="28"/>
        </w:rPr>
        <w:t>: Guidelines for Video Surveillance, Electronic</w:t>
      </w:r>
    </w:p>
    <w:p w14:paraId="589CD744" w14:textId="28628A74" w:rsidR="009744C2" w:rsidRPr="009744C2" w:rsidRDefault="009744C2" w:rsidP="009744C2">
      <w:pPr>
        <w:ind w:left="108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          </w:t>
      </w:r>
      <w:r w:rsidRPr="009744C2">
        <w:rPr>
          <w:rFonts w:cstheme="minorHAnsi"/>
          <w:i/>
          <w:iCs/>
          <w:sz w:val="28"/>
          <w:szCs w:val="28"/>
        </w:rPr>
        <w:t>Door Locks and Duress Alarms</w:t>
      </w:r>
    </w:p>
    <w:p w14:paraId="24FE959E" w14:textId="5447A9B6" w:rsidR="009744C2" w:rsidRPr="00D04957" w:rsidRDefault="009744C2" w:rsidP="00D0495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Other items demonstrating a clear security improvement with a UJS</w:t>
      </w:r>
    </w:p>
    <w:p w14:paraId="55BE9CB3" w14:textId="7FD60348" w:rsidR="009744C2" w:rsidRDefault="009744C2" w:rsidP="00D04957">
      <w:pPr>
        <w:ind w:left="360" w:firstLine="720"/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match up to $10,000</w:t>
      </w:r>
    </w:p>
    <w:p w14:paraId="50543E85" w14:textId="77777777" w:rsidR="00ED63D9" w:rsidRPr="00ED63D9" w:rsidRDefault="00ED63D9" w:rsidP="00ED63D9">
      <w:pPr>
        <w:numPr>
          <w:ilvl w:val="0"/>
          <w:numId w:val="7"/>
        </w:numPr>
        <w:contextualSpacing/>
        <w:rPr>
          <w:rFonts w:cstheme="minorHAnsi"/>
          <w:sz w:val="28"/>
          <w:szCs w:val="28"/>
        </w:rPr>
      </w:pPr>
      <w:r w:rsidRPr="00ED63D9">
        <w:rPr>
          <w:rFonts w:cstheme="minorHAnsi"/>
          <w:sz w:val="28"/>
          <w:szCs w:val="28"/>
        </w:rPr>
        <w:t>Matching funds may not be requested for employee salaries, mileage, per</w:t>
      </w:r>
    </w:p>
    <w:p w14:paraId="4AEF459D" w14:textId="76A45043" w:rsidR="00ED63D9" w:rsidRPr="00ED63D9" w:rsidRDefault="00C02379" w:rsidP="00ED63D9">
      <w:pPr>
        <w:ind w:left="360" w:firstLine="360"/>
        <w:rPr>
          <w:rFonts w:cstheme="minorHAnsi"/>
          <w:sz w:val="28"/>
          <w:szCs w:val="28"/>
        </w:rPr>
      </w:pPr>
      <w:r w:rsidRPr="00ED63D9">
        <w:rPr>
          <w:rFonts w:cstheme="minorHAnsi"/>
          <w:sz w:val="28"/>
          <w:szCs w:val="28"/>
        </w:rPr>
        <w:t>diem, lodging</w:t>
      </w:r>
      <w:r w:rsidR="00ED63D9" w:rsidRPr="00ED63D9">
        <w:rPr>
          <w:rFonts w:cstheme="minorHAnsi"/>
          <w:sz w:val="28"/>
          <w:szCs w:val="28"/>
        </w:rPr>
        <w:t>, firearms, ammunition, or vehicles.</w:t>
      </w:r>
    </w:p>
    <w:p w14:paraId="5048D764" w14:textId="77777777" w:rsidR="00ED63D9" w:rsidRPr="003233CB" w:rsidRDefault="00ED63D9" w:rsidP="003233CB">
      <w:pPr>
        <w:pStyle w:val="ListParagraph"/>
        <w:rPr>
          <w:rFonts w:cstheme="minorHAnsi"/>
          <w:sz w:val="28"/>
          <w:szCs w:val="28"/>
        </w:rPr>
      </w:pPr>
    </w:p>
    <w:p w14:paraId="7ED2DF6A" w14:textId="77777777" w:rsidR="00D04957" w:rsidRPr="009744C2" w:rsidRDefault="00D04957" w:rsidP="00D04957">
      <w:pPr>
        <w:ind w:left="360" w:firstLine="720"/>
        <w:rPr>
          <w:rFonts w:cstheme="minorHAnsi"/>
          <w:sz w:val="28"/>
          <w:szCs w:val="28"/>
        </w:rPr>
      </w:pPr>
    </w:p>
    <w:p w14:paraId="0C8E51C0" w14:textId="7AD1EB67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D04957">
        <w:rPr>
          <w:rFonts w:cstheme="minorHAnsi"/>
          <w:b/>
          <w:bCs/>
          <w:sz w:val="28"/>
          <w:szCs w:val="28"/>
        </w:rPr>
        <w:t>TIER TWO GRANT REQUEST</w:t>
      </w:r>
    </w:p>
    <w:p w14:paraId="6240BF09" w14:textId="77777777" w:rsidR="00D04957" w:rsidRPr="00D04957" w:rsidRDefault="00D04957" w:rsidP="009744C2">
      <w:pPr>
        <w:rPr>
          <w:rFonts w:cstheme="minorHAnsi"/>
          <w:b/>
          <w:bCs/>
          <w:sz w:val="28"/>
          <w:szCs w:val="28"/>
        </w:rPr>
      </w:pPr>
    </w:p>
    <w:p w14:paraId="4AE2FA9B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 xml:space="preserve">GRANT REQUESTS FOR A UJS MATCH </w:t>
      </w:r>
      <w:r w:rsidRPr="00D04957">
        <w:rPr>
          <w:rFonts w:cstheme="minorHAnsi"/>
          <w:sz w:val="28"/>
          <w:szCs w:val="28"/>
          <w:u w:val="single"/>
        </w:rPr>
        <w:t>OVER $10,000</w:t>
      </w:r>
    </w:p>
    <w:p w14:paraId="00B4ED92" w14:textId="3128C1E0" w:rsidR="009744C2" w:rsidRDefault="009744C2" w:rsidP="009744C2">
      <w:pPr>
        <w:rPr>
          <w:rFonts w:cstheme="minorHAnsi"/>
          <w:sz w:val="28"/>
          <w:szCs w:val="28"/>
        </w:rPr>
      </w:pPr>
      <w:r w:rsidRPr="00D04957">
        <w:rPr>
          <w:rFonts w:cstheme="minorHAnsi"/>
          <w:i/>
          <w:iCs/>
          <w:sz w:val="28"/>
          <w:szCs w:val="28"/>
        </w:rPr>
        <w:t>Eligibility</w:t>
      </w:r>
      <w:r w:rsidRPr="009744C2">
        <w:rPr>
          <w:rFonts w:cstheme="minorHAnsi"/>
          <w:sz w:val="28"/>
          <w:szCs w:val="28"/>
        </w:rPr>
        <w:t>:</w:t>
      </w:r>
    </w:p>
    <w:p w14:paraId="03A28CA4" w14:textId="77777777" w:rsidR="00D04957" w:rsidRPr="009744C2" w:rsidRDefault="00D04957" w:rsidP="009744C2">
      <w:pPr>
        <w:rPr>
          <w:rFonts w:cstheme="minorHAnsi"/>
          <w:sz w:val="28"/>
          <w:szCs w:val="28"/>
        </w:rPr>
      </w:pPr>
    </w:p>
    <w:p w14:paraId="380AA4AD" w14:textId="77777777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A grant application must clearly identify the court security need or needs</w:t>
      </w:r>
    </w:p>
    <w:p w14:paraId="6D5879E1" w14:textId="0CF176AD" w:rsidR="009744C2" w:rsidRPr="00D04957" w:rsidRDefault="009744C2" w:rsidP="00D04957">
      <w:pPr>
        <w:ind w:left="720"/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being addressed and how the project will benefit the security of th</w:t>
      </w:r>
      <w:r w:rsidR="00D04957">
        <w:rPr>
          <w:rFonts w:cstheme="minorHAnsi"/>
          <w:sz w:val="28"/>
          <w:szCs w:val="28"/>
        </w:rPr>
        <w:t xml:space="preserve">e </w:t>
      </w:r>
      <w:r w:rsidRPr="00D04957">
        <w:rPr>
          <w:rFonts w:cstheme="minorHAnsi"/>
          <w:sz w:val="28"/>
          <w:szCs w:val="28"/>
        </w:rPr>
        <w:t>courthouse.</w:t>
      </w:r>
    </w:p>
    <w:p w14:paraId="76489376" w14:textId="77777777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A Courthouse Security Committee must be in place in the requesting county</w:t>
      </w:r>
    </w:p>
    <w:p w14:paraId="594E1744" w14:textId="77777777" w:rsidR="009744C2" w:rsidRPr="00D04957" w:rsidRDefault="009744C2" w:rsidP="00D04957">
      <w:pPr>
        <w:ind w:left="360" w:firstLine="360"/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and the CSC must endorse and support the grant application.</w:t>
      </w:r>
    </w:p>
    <w:p w14:paraId="23DF8038" w14:textId="77777777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The application must identify those security standards and guidelines for</w:t>
      </w:r>
    </w:p>
    <w:p w14:paraId="5046A921" w14:textId="77777777" w:rsidR="009744C2" w:rsidRPr="00D04957" w:rsidRDefault="009744C2" w:rsidP="00D04957">
      <w:pPr>
        <w:pStyle w:val="ListParagraph"/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which a grant award would assist in achieving compliance.</w:t>
      </w:r>
    </w:p>
    <w:p w14:paraId="41D32716" w14:textId="77777777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Priority will be given to grant requests supported by a recent security</w:t>
      </w:r>
    </w:p>
    <w:p w14:paraId="5C8F5780" w14:textId="77777777" w:rsidR="009744C2" w:rsidRPr="00D04957" w:rsidRDefault="009744C2" w:rsidP="00D04957">
      <w:pPr>
        <w:pStyle w:val="ListParagraph"/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assessment.</w:t>
      </w:r>
    </w:p>
    <w:p w14:paraId="5D3719CF" w14:textId="70AC770F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In the absence of a recent security assessment, the need for the project may</w:t>
      </w:r>
      <w:r w:rsidR="00D04957">
        <w:rPr>
          <w:rFonts w:cstheme="minorHAnsi"/>
          <w:sz w:val="28"/>
          <w:szCs w:val="28"/>
        </w:rPr>
        <w:t xml:space="preserve"> </w:t>
      </w:r>
      <w:r w:rsidRPr="00D04957">
        <w:rPr>
          <w:rFonts w:cstheme="minorHAnsi"/>
          <w:sz w:val="28"/>
          <w:szCs w:val="28"/>
        </w:rPr>
        <w:t xml:space="preserve">be supported by security incident reports or information describing </w:t>
      </w:r>
      <w:r w:rsidRPr="00D04957">
        <w:rPr>
          <w:rFonts w:cstheme="minorHAnsi"/>
          <w:sz w:val="28"/>
          <w:szCs w:val="28"/>
        </w:rPr>
        <w:lastRenderedPageBreak/>
        <w:t>how the</w:t>
      </w:r>
      <w:r w:rsidR="00D04957">
        <w:rPr>
          <w:rFonts w:cstheme="minorHAnsi"/>
          <w:sz w:val="28"/>
          <w:szCs w:val="28"/>
        </w:rPr>
        <w:t xml:space="preserve"> </w:t>
      </w:r>
      <w:r w:rsidRPr="00D04957">
        <w:rPr>
          <w:rFonts w:cstheme="minorHAnsi"/>
          <w:sz w:val="28"/>
          <w:szCs w:val="28"/>
        </w:rPr>
        <w:t>project will address and mitigate weaknesses in a courthouse security plan.</w:t>
      </w:r>
    </w:p>
    <w:p w14:paraId="022BF12C" w14:textId="42DFE324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Supporting cost documentation must accompany the application and include</w:t>
      </w:r>
      <w:r w:rsidR="00D04957">
        <w:rPr>
          <w:rFonts w:cstheme="minorHAnsi"/>
          <w:sz w:val="28"/>
          <w:szCs w:val="28"/>
        </w:rPr>
        <w:t xml:space="preserve"> </w:t>
      </w:r>
      <w:r w:rsidRPr="00D04957">
        <w:rPr>
          <w:rFonts w:cstheme="minorHAnsi"/>
          <w:sz w:val="28"/>
          <w:szCs w:val="28"/>
        </w:rPr>
        <w:t>one or more reliable cost estimates.</w:t>
      </w:r>
    </w:p>
    <w:p w14:paraId="6ACFC739" w14:textId="77777777" w:rsidR="009744C2" w:rsidRPr="00D04957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Matching funds may not be requested for employee salaries, mileage, per</w:t>
      </w:r>
    </w:p>
    <w:p w14:paraId="401AD649" w14:textId="578523B2" w:rsidR="009744C2" w:rsidRPr="00D04957" w:rsidRDefault="004257ED" w:rsidP="00D04957">
      <w:pPr>
        <w:ind w:left="360" w:firstLine="360"/>
        <w:rPr>
          <w:rFonts w:cstheme="minorHAnsi"/>
          <w:sz w:val="28"/>
          <w:szCs w:val="28"/>
        </w:rPr>
      </w:pPr>
      <w:r w:rsidRPr="00D04957">
        <w:rPr>
          <w:rFonts w:cstheme="minorHAnsi"/>
          <w:sz w:val="28"/>
          <w:szCs w:val="28"/>
        </w:rPr>
        <w:t>diem, lodging</w:t>
      </w:r>
      <w:r w:rsidR="00ED63D9">
        <w:rPr>
          <w:rFonts w:cstheme="minorHAnsi"/>
          <w:sz w:val="28"/>
          <w:szCs w:val="28"/>
        </w:rPr>
        <w:t>, firearms, ammunition, or vehicles.</w:t>
      </w:r>
    </w:p>
    <w:p w14:paraId="609B93BF" w14:textId="77777777" w:rsidR="009744C2" w:rsidRPr="008D7DC2" w:rsidRDefault="009744C2" w:rsidP="00D0495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8D7DC2">
        <w:rPr>
          <w:rFonts w:cstheme="minorHAnsi"/>
          <w:sz w:val="28"/>
          <w:szCs w:val="28"/>
        </w:rPr>
        <w:t>An implementation and certification report will be required of grant</w:t>
      </w:r>
    </w:p>
    <w:p w14:paraId="4B7FEF70" w14:textId="54B49588" w:rsidR="009744C2" w:rsidRPr="008D7DC2" w:rsidRDefault="009744C2" w:rsidP="00D04957">
      <w:pPr>
        <w:pStyle w:val="ListParagraph"/>
        <w:rPr>
          <w:rFonts w:cstheme="minorHAnsi"/>
          <w:sz w:val="28"/>
          <w:szCs w:val="28"/>
        </w:rPr>
      </w:pPr>
      <w:r w:rsidRPr="008D7DC2">
        <w:rPr>
          <w:rFonts w:cstheme="minorHAnsi"/>
          <w:sz w:val="28"/>
          <w:szCs w:val="28"/>
        </w:rPr>
        <w:t xml:space="preserve">recipients and all expenditures must be </w:t>
      </w:r>
      <w:r w:rsidR="00D04957" w:rsidRPr="008D7DC2">
        <w:rPr>
          <w:rFonts w:cstheme="minorHAnsi"/>
          <w:sz w:val="28"/>
          <w:szCs w:val="28"/>
        </w:rPr>
        <w:t>verified,</w:t>
      </w:r>
      <w:r w:rsidRPr="008D7DC2">
        <w:rPr>
          <w:rFonts w:cstheme="minorHAnsi"/>
          <w:sz w:val="28"/>
          <w:szCs w:val="28"/>
        </w:rPr>
        <w:t xml:space="preserve"> and the final invoice paid</w:t>
      </w:r>
    </w:p>
    <w:p w14:paraId="0611687E" w14:textId="584E74F2" w:rsidR="009744C2" w:rsidRDefault="009744C2" w:rsidP="00D04957">
      <w:pPr>
        <w:pStyle w:val="ListParagraph"/>
        <w:rPr>
          <w:rFonts w:cstheme="minorHAnsi"/>
          <w:sz w:val="28"/>
          <w:szCs w:val="28"/>
        </w:rPr>
      </w:pPr>
      <w:r w:rsidRPr="008D7DC2">
        <w:rPr>
          <w:rFonts w:cstheme="minorHAnsi"/>
          <w:sz w:val="28"/>
          <w:szCs w:val="28"/>
        </w:rPr>
        <w:t>before the grant award is made.</w:t>
      </w:r>
    </w:p>
    <w:p w14:paraId="5C2B85E5" w14:textId="1C72E2C7" w:rsidR="009744C2" w:rsidRPr="00037651" w:rsidRDefault="00394D5D" w:rsidP="00037651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FB63F5">
        <w:rPr>
          <w:rFonts w:cstheme="minorHAnsi"/>
          <w:sz w:val="28"/>
          <w:szCs w:val="28"/>
        </w:rPr>
        <w:t xml:space="preserve">Counties </w:t>
      </w:r>
      <w:r w:rsidR="00C02379" w:rsidRPr="00FB63F5">
        <w:rPr>
          <w:rFonts w:cstheme="minorHAnsi"/>
          <w:sz w:val="28"/>
          <w:szCs w:val="28"/>
        </w:rPr>
        <w:t>must</w:t>
      </w:r>
      <w:r w:rsidRPr="00FB63F5">
        <w:rPr>
          <w:rFonts w:cstheme="minorHAnsi"/>
          <w:sz w:val="28"/>
          <w:szCs w:val="28"/>
        </w:rPr>
        <w:t xml:space="preserve"> ensure</w:t>
      </w:r>
      <w:r w:rsidR="00ED63D9" w:rsidRPr="00FB63F5">
        <w:rPr>
          <w:rFonts w:cstheme="minorHAnsi"/>
          <w:sz w:val="28"/>
          <w:szCs w:val="28"/>
        </w:rPr>
        <w:t xml:space="preserve"> that any requested grant would comply with applicable laws related to procurement.</w:t>
      </w:r>
      <w:r w:rsidR="00037651">
        <w:rPr>
          <w:rFonts w:cstheme="minorHAnsi"/>
          <w:sz w:val="28"/>
          <w:szCs w:val="28"/>
        </w:rPr>
        <w:t xml:space="preserve"> </w:t>
      </w:r>
      <w:r w:rsidR="009744C2" w:rsidRPr="00D04957">
        <w:rPr>
          <w:rFonts w:cstheme="minorHAnsi"/>
          <w:sz w:val="28"/>
          <w:szCs w:val="28"/>
        </w:rPr>
        <w:t>An application must be endorsed by the Presiding Judge of the judicial</w:t>
      </w:r>
      <w:r w:rsidR="00037651">
        <w:rPr>
          <w:rFonts w:cstheme="minorHAnsi"/>
          <w:sz w:val="28"/>
          <w:szCs w:val="28"/>
        </w:rPr>
        <w:t xml:space="preserve"> </w:t>
      </w:r>
      <w:r w:rsidR="00D04957" w:rsidRPr="00037651">
        <w:rPr>
          <w:rFonts w:cstheme="minorHAnsi"/>
          <w:sz w:val="28"/>
          <w:szCs w:val="28"/>
        </w:rPr>
        <w:t>C</w:t>
      </w:r>
      <w:r w:rsidR="009744C2" w:rsidRPr="00037651">
        <w:rPr>
          <w:rFonts w:cstheme="minorHAnsi"/>
          <w:sz w:val="28"/>
          <w:szCs w:val="28"/>
        </w:rPr>
        <w:t>ircuit</w:t>
      </w:r>
      <w:r w:rsidR="00D04957" w:rsidRPr="00037651">
        <w:rPr>
          <w:rFonts w:cstheme="minorHAnsi"/>
          <w:sz w:val="28"/>
          <w:szCs w:val="28"/>
        </w:rPr>
        <w:t>.</w:t>
      </w:r>
    </w:p>
    <w:p w14:paraId="20487DF8" w14:textId="2BA32F64" w:rsidR="00984BC0" w:rsidRDefault="00984BC0" w:rsidP="0048747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representative of the county or Court Security Committee </w:t>
      </w:r>
      <w:r w:rsidR="00682A8F">
        <w:rPr>
          <w:rFonts w:cstheme="minorHAnsi"/>
          <w:sz w:val="28"/>
          <w:szCs w:val="28"/>
        </w:rPr>
        <w:t>must</w:t>
      </w:r>
      <w:r>
        <w:rPr>
          <w:rFonts w:cstheme="minorHAnsi"/>
          <w:sz w:val="28"/>
          <w:szCs w:val="28"/>
        </w:rPr>
        <w:t xml:space="preserve"> appear </w:t>
      </w:r>
      <w:r w:rsidR="00682A8F">
        <w:rPr>
          <w:rFonts w:cstheme="minorHAnsi"/>
          <w:sz w:val="28"/>
          <w:szCs w:val="28"/>
        </w:rPr>
        <w:t>before</w:t>
      </w:r>
      <w:r>
        <w:rPr>
          <w:rFonts w:cstheme="minorHAnsi"/>
          <w:sz w:val="28"/>
          <w:szCs w:val="28"/>
        </w:rPr>
        <w:t xml:space="preserve"> the </w:t>
      </w:r>
      <w:r w:rsidRPr="0048747F">
        <w:rPr>
          <w:rFonts w:cstheme="minorHAnsi"/>
          <w:sz w:val="28"/>
          <w:szCs w:val="28"/>
        </w:rPr>
        <w:t>Grant Review Committee</w:t>
      </w:r>
      <w:r>
        <w:rPr>
          <w:rFonts w:cstheme="minorHAnsi"/>
          <w:sz w:val="28"/>
          <w:szCs w:val="28"/>
        </w:rPr>
        <w:t xml:space="preserve"> during a</w:t>
      </w:r>
      <w:r w:rsidR="001217A8">
        <w:rPr>
          <w:rFonts w:cstheme="minorHAnsi"/>
          <w:sz w:val="28"/>
          <w:szCs w:val="28"/>
        </w:rPr>
        <w:t>n online</w:t>
      </w:r>
      <w:r>
        <w:rPr>
          <w:rFonts w:cstheme="minorHAnsi"/>
          <w:sz w:val="28"/>
          <w:szCs w:val="28"/>
        </w:rPr>
        <w:t xml:space="preserve"> meeting to summarize the</w:t>
      </w:r>
      <w:r w:rsidR="00682A8F">
        <w:rPr>
          <w:rFonts w:cstheme="minorHAnsi"/>
          <w:sz w:val="28"/>
          <w:szCs w:val="28"/>
        </w:rPr>
        <w:t xml:space="preserve"> county’s</w:t>
      </w:r>
      <w:r>
        <w:rPr>
          <w:rFonts w:cstheme="minorHAnsi"/>
          <w:sz w:val="28"/>
          <w:szCs w:val="28"/>
        </w:rPr>
        <w:t xml:space="preserve"> request</w:t>
      </w:r>
      <w:r w:rsidR="00682A8F">
        <w:rPr>
          <w:rFonts w:cstheme="minorHAnsi"/>
          <w:sz w:val="28"/>
          <w:szCs w:val="28"/>
        </w:rPr>
        <w:t xml:space="preserve"> and</w:t>
      </w:r>
      <w:r>
        <w:rPr>
          <w:rFonts w:cstheme="minorHAnsi"/>
          <w:sz w:val="28"/>
          <w:szCs w:val="28"/>
        </w:rPr>
        <w:t xml:space="preserve"> answer</w:t>
      </w:r>
      <w:r w:rsidR="00682A8F">
        <w:rPr>
          <w:rFonts w:cstheme="minorHAnsi"/>
          <w:sz w:val="28"/>
          <w:szCs w:val="28"/>
        </w:rPr>
        <w:t xml:space="preserve"> any</w:t>
      </w:r>
      <w:r>
        <w:rPr>
          <w:rFonts w:cstheme="minorHAnsi"/>
          <w:sz w:val="28"/>
          <w:szCs w:val="28"/>
        </w:rPr>
        <w:t xml:space="preserve"> questions</w:t>
      </w:r>
      <w:r w:rsidR="00682A8F">
        <w:rPr>
          <w:rFonts w:cstheme="minorHAnsi"/>
          <w:sz w:val="28"/>
          <w:szCs w:val="28"/>
        </w:rPr>
        <w:t xml:space="preserve"> posed by committee members</w:t>
      </w:r>
      <w:r>
        <w:rPr>
          <w:rFonts w:cstheme="minorHAnsi"/>
          <w:sz w:val="28"/>
          <w:szCs w:val="28"/>
        </w:rPr>
        <w:t xml:space="preserve">. </w:t>
      </w:r>
    </w:p>
    <w:p w14:paraId="1B2EE1CA" w14:textId="373A822A" w:rsidR="00E94A22" w:rsidRDefault="00E94A22" w:rsidP="0048747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maximum award is $350,000 per fiscal year per county</w:t>
      </w:r>
      <w:r w:rsidR="00E04273">
        <w:rPr>
          <w:rFonts w:cstheme="minorHAnsi"/>
          <w:sz w:val="28"/>
          <w:szCs w:val="28"/>
        </w:rPr>
        <w:t>, excluding the county match for the complete project</w:t>
      </w:r>
    </w:p>
    <w:p w14:paraId="0761685C" w14:textId="77777777" w:rsidR="001C4272" w:rsidRDefault="00E94A22" w:rsidP="001C4272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Awards include a 12-month sunset clause during which the money must be spent within 12 months of the award unless there is a justifiable reason for an extension.</w:t>
      </w:r>
    </w:p>
    <w:p w14:paraId="7B3AA134" w14:textId="2833764B" w:rsidR="000A42D5" w:rsidRPr="000A42D5" w:rsidRDefault="00004DA7" w:rsidP="000A42D5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1C4272">
        <w:rPr>
          <w:rFonts w:cstheme="minorHAnsi"/>
          <w:sz w:val="28"/>
          <w:szCs w:val="28"/>
        </w:rPr>
        <w:t>If the requested security grant is for an extensive courthouse renovation or new construction of a courthouse</w:t>
      </w:r>
      <w:r w:rsidR="002B5A9D" w:rsidRPr="001C4272">
        <w:rPr>
          <w:rFonts w:cstheme="minorHAnsi"/>
          <w:sz w:val="28"/>
          <w:szCs w:val="28"/>
        </w:rPr>
        <w:t>,</w:t>
      </w:r>
      <w:r w:rsidRPr="001C4272">
        <w:rPr>
          <w:rFonts w:cstheme="minorHAnsi"/>
          <w:sz w:val="28"/>
          <w:szCs w:val="28"/>
        </w:rPr>
        <w:t xml:space="preserve"> </w:t>
      </w:r>
      <w:r w:rsidR="008D7DC2" w:rsidRPr="001C4272">
        <w:rPr>
          <w:rFonts w:cstheme="minorHAnsi"/>
          <w:sz w:val="28"/>
          <w:szCs w:val="28"/>
        </w:rPr>
        <w:t>the maximum total grant award is $350,000 excluding the county match for the entire project.</w:t>
      </w:r>
      <w:r w:rsidR="000A42D5" w:rsidRPr="000A42D5">
        <w:rPr>
          <w:rFonts w:cstheme="minorHAnsi"/>
          <w:sz w:val="28"/>
          <w:szCs w:val="28"/>
        </w:rPr>
        <w:t xml:space="preserve"> </w:t>
      </w:r>
      <w:r w:rsidR="000A42D5">
        <w:rPr>
          <w:rFonts w:cstheme="minorHAnsi"/>
          <w:sz w:val="28"/>
          <w:szCs w:val="28"/>
        </w:rPr>
        <w:t>If the requested security grant is for an extensive courthouse renovation or new construction of a courthouse the maximum award is $350,000 excluding the county match for the complete project.  Any amount up to the maximum of $350,000 must be supported by an itemized list of security features supporting the award amount and shall be paid upon proof of payment for the security features.</w:t>
      </w:r>
      <w:r w:rsidR="000A42D5" w:rsidRPr="00D04957">
        <w:rPr>
          <w:rFonts w:cstheme="minorHAnsi"/>
          <w:sz w:val="28"/>
          <w:szCs w:val="28"/>
        </w:rPr>
        <w:t xml:space="preserve"> An implementation and certification report will be required of grant</w:t>
      </w:r>
      <w:r w:rsidR="000A42D5">
        <w:rPr>
          <w:rFonts w:cstheme="minorHAnsi"/>
          <w:sz w:val="28"/>
          <w:szCs w:val="28"/>
        </w:rPr>
        <w:t xml:space="preserve"> </w:t>
      </w:r>
      <w:r w:rsidR="000A42D5" w:rsidRPr="000A42D5">
        <w:rPr>
          <w:rFonts w:cstheme="minorHAnsi"/>
          <w:sz w:val="28"/>
          <w:szCs w:val="28"/>
        </w:rPr>
        <w:t>recipients and all expenditures must be verified, and the final invoice paid</w:t>
      </w:r>
      <w:r w:rsidR="000A42D5">
        <w:rPr>
          <w:rFonts w:cstheme="minorHAnsi"/>
          <w:sz w:val="28"/>
          <w:szCs w:val="28"/>
        </w:rPr>
        <w:t xml:space="preserve"> </w:t>
      </w:r>
      <w:r w:rsidR="000A42D5" w:rsidRPr="000A42D5">
        <w:rPr>
          <w:rFonts w:cstheme="minorHAnsi"/>
          <w:sz w:val="28"/>
          <w:szCs w:val="28"/>
        </w:rPr>
        <w:t>before the grant award is made.</w:t>
      </w:r>
    </w:p>
    <w:p w14:paraId="2BDD03EF" w14:textId="134743D3" w:rsidR="00004DA7" w:rsidRPr="001C4272" w:rsidRDefault="000A42D5" w:rsidP="000A42D5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8D7DC2" w:rsidRPr="001C4272">
        <w:rPr>
          <w:rFonts w:cstheme="minorHAnsi"/>
          <w:sz w:val="28"/>
          <w:szCs w:val="28"/>
        </w:rPr>
        <w:t xml:space="preserve">  </w:t>
      </w:r>
    </w:p>
    <w:p w14:paraId="6DD1A356" w14:textId="77777777" w:rsidR="00984BC0" w:rsidRDefault="00984BC0" w:rsidP="00D04957">
      <w:pPr>
        <w:pStyle w:val="ListParagraph"/>
        <w:rPr>
          <w:rFonts w:cstheme="minorHAnsi"/>
          <w:sz w:val="28"/>
          <w:szCs w:val="28"/>
        </w:rPr>
      </w:pPr>
    </w:p>
    <w:p w14:paraId="40436E3B" w14:textId="77777777" w:rsidR="00F434C8" w:rsidRDefault="00F434C8" w:rsidP="009744C2">
      <w:pPr>
        <w:rPr>
          <w:rFonts w:cstheme="minorHAnsi"/>
          <w:b/>
          <w:bCs/>
          <w:sz w:val="28"/>
          <w:szCs w:val="28"/>
        </w:rPr>
      </w:pPr>
    </w:p>
    <w:p w14:paraId="5D0E33A2" w14:textId="77777777" w:rsidR="000A42D5" w:rsidRDefault="000A42D5" w:rsidP="009744C2">
      <w:pPr>
        <w:rPr>
          <w:rFonts w:cstheme="minorHAnsi"/>
          <w:b/>
          <w:bCs/>
          <w:sz w:val="28"/>
          <w:szCs w:val="28"/>
        </w:rPr>
      </w:pPr>
    </w:p>
    <w:p w14:paraId="1336C2B8" w14:textId="77777777" w:rsidR="000A42D5" w:rsidRDefault="000A42D5" w:rsidP="009744C2">
      <w:pPr>
        <w:rPr>
          <w:rFonts w:cstheme="minorHAnsi"/>
          <w:b/>
          <w:bCs/>
          <w:sz w:val="28"/>
          <w:szCs w:val="28"/>
        </w:rPr>
      </w:pPr>
    </w:p>
    <w:p w14:paraId="0CBC7BF5" w14:textId="3DD6B6AC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D04957">
        <w:rPr>
          <w:rFonts w:cstheme="minorHAnsi"/>
          <w:b/>
          <w:bCs/>
          <w:sz w:val="28"/>
          <w:szCs w:val="28"/>
        </w:rPr>
        <w:lastRenderedPageBreak/>
        <w:t>APPLICATION REQUIREMENTS</w:t>
      </w:r>
      <w:r w:rsidR="008D7DC2">
        <w:rPr>
          <w:rFonts w:cstheme="minorHAnsi"/>
          <w:b/>
          <w:bCs/>
          <w:sz w:val="28"/>
          <w:szCs w:val="28"/>
        </w:rPr>
        <w:t xml:space="preserve"> </w:t>
      </w:r>
    </w:p>
    <w:p w14:paraId="25956C5F" w14:textId="77777777" w:rsidR="00D04957" w:rsidRPr="00D04957" w:rsidRDefault="00D04957" w:rsidP="009744C2">
      <w:pPr>
        <w:rPr>
          <w:rFonts w:cstheme="minorHAnsi"/>
          <w:b/>
          <w:bCs/>
          <w:sz w:val="28"/>
          <w:szCs w:val="28"/>
        </w:rPr>
      </w:pPr>
    </w:p>
    <w:p w14:paraId="41156D44" w14:textId="5E1B3132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Grant application forms are available on the UJS website at ujs.sd.gov and attached</w:t>
      </w:r>
      <w:r w:rsidR="00D04957">
        <w:rPr>
          <w:rFonts w:cstheme="minorHAnsi"/>
          <w:sz w:val="28"/>
          <w:szCs w:val="28"/>
        </w:rPr>
        <w:t xml:space="preserve"> </w:t>
      </w:r>
      <w:r w:rsidRPr="009744C2">
        <w:rPr>
          <w:rFonts w:cstheme="minorHAnsi"/>
          <w:sz w:val="28"/>
          <w:szCs w:val="28"/>
        </w:rPr>
        <w:t>to this document as Appendix B and C.</w:t>
      </w:r>
    </w:p>
    <w:p w14:paraId="6E0D978D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</w:p>
    <w:p w14:paraId="309E20C4" w14:textId="77777777" w:rsidR="00037651" w:rsidRDefault="00037651" w:rsidP="009744C2">
      <w:pPr>
        <w:rPr>
          <w:rFonts w:cstheme="minorHAnsi"/>
          <w:b/>
          <w:bCs/>
          <w:sz w:val="28"/>
          <w:szCs w:val="28"/>
        </w:rPr>
      </w:pPr>
    </w:p>
    <w:p w14:paraId="32531C61" w14:textId="77777777" w:rsidR="001C4272" w:rsidRDefault="001C4272" w:rsidP="009744C2">
      <w:pPr>
        <w:rPr>
          <w:rFonts w:cstheme="minorHAnsi"/>
          <w:b/>
          <w:bCs/>
          <w:sz w:val="28"/>
          <w:szCs w:val="28"/>
        </w:rPr>
      </w:pPr>
    </w:p>
    <w:p w14:paraId="7DD764DD" w14:textId="77777777" w:rsidR="00F434C8" w:rsidRDefault="00F434C8" w:rsidP="009744C2">
      <w:pPr>
        <w:rPr>
          <w:rFonts w:cstheme="minorHAnsi"/>
          <w:b/>
          <w:bCs/>
          <w:sz w:val="28"/>
          <w:szCs w:val="28"/>
        </w:rPr>
      </w:pPr>
    </w:p>
    <w:p w14:paraId="1FFA65A8" w14:textId="3EED57EE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D04957">
        <w:rPr>
          <w:rFonts w:cstheme="minorHAnsi"/>
          <w:b/>
          <w:bCs/>
          <w:sz w:val="28"/>
          <w:szCs w:val="28"/>
        </w:rPr>
        <w:t>SUBMISSIONS</w:t>
      </w:r>
    </w:p>
    <w:p w14:paraId="62400D1B" w14:textId="77777777" w:rsidR="00D04957" w:rsidRPr="00D04957" w:rsidRDefault="00D04957" w:rsidP="009744C2">
      <w:pPr>
        <w:rPr>
          <w:rFonts w:cstheme="minorHAnsi"/>
          <w:b/>
          <w:bCs/>
          <w:sz w:val="28"/>
          <w:szCs w:val="28"/>
        </w:rPr>
      </w:pPr>
    </w:p>
    <w:p w14:paraId="641AA49D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All submissions should be sent to:</w:t>
      </w:r>
    </w:p>
    <w:p w14:paraId="6D29F8EB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Scott Sheldon</w:t>
      </w:r>
    </w:p>
    <w:p w14:paraId="7E3F400F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State Court Administrator’s Office</w:t>
      </w:r>
    </w:p>
    <w:p w14:paraId="5B8986D8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500 East Capitol Avenue</w:t>
      </w:r>
    </w:p>
    <w:p w14:paraId="4606EF00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Pierre, South Dakota 57501</w:t>
      </w:r>
    </w:p>
    <w:p w14:paraId="130BA75F" w14:textId="533B5F3E" w:rsidR="009744C2" w:rsidRDefault="00000000" w:rsidP="009744C2">
      <w:pPr>
        <w:rPr>
          <w:rFonts w:cstheme="minorHAnsi"/>
          <w:sz w:val="28"/>
          <w:szCs w:val="28"/>
        </w:rPr>
      </w:pPr>
      <w:hyperlink r:id="rId8" w:history="1">
        <w:r w:rsidR="00D04957" w:rsidRPr="002E1871">
          <w:rPr>
            <w:rStyle w:val="Hyperlink"/>
            <w:rFonts w:cstheme="minorHAnsi"/>
            <w:sz w:val="28"/>
            <w:szCs w:val="28"/>
          </w:rPr>
          <w:t>Scott.Sheldon@ujs.state.sd.us</w:t>
        </w:r>
      </w:hyperlink>
    </w:p>
    <w:p w14:paraId="17ADA3FE" w14:textId="77777777" w:rsidR="00D04957" w:rsidRPr="009744C2" w:rsidRDefault="00D04957" w:rsidP="009744C2">
      <w:pPr>
        <w:rPr>
          <w:rFonts w:cstheme="minorHAnsi"/>
          <w:sz w:val="28"/>
          <w:szCs w:val="28"/>
        </w:rPr>
      </w:pPr>
    </w:p>
    <w:p w14:paraId="06CD963E" w14:textId="77777777" w:rsidR="00037651" w:rsidRDefault="00037651" w:rsidP="009744C2">
      <w:pPr>
        <w:rPr>
          <w:rFonts w:cstheme="minorHAnsi"/>
          <w:b/>
          <w:bCs/>
          <w:sz w:val="28"/>
          <w:szCs w:val="28"/>
        </w:rPr>
      </w:pPr>
    </w:p>
    <w:p w14:paraId="3E8AE1D0" w14:textId="77777777" w:rsidR="00037651" w:rsidRDefault="00037651" w:rsidP="009744C2">
      <w:pPr>
        <w:rPr>
          <w:rFonts w:cstheme="minorHAnsi"/>
          <w:b/>
          <w:bCs/>
          <w:sz w:val="28"/>
          <w:szCs w:val="28"/>
        </w:rPr>
      </w:pPr>
    </w:p>
    <w:p w14:paraId="4120AF38" w14:textId="1809799B" w:rsidR="009744C2" w:rsidRDefault="009744C2" w:rsidP="009744C2">
      <w:pPr>
        <w:rPr>
          <w:rFonts w:cstheme="minorHAnsi"/>
          <w:b/>
          <w:bCs/>
          <w:sz w:val="28"/>
          <w:szCs w:val="28"/>
        </w:rPr>
      </w:pPr>
      <w:r w:rsidRPr="00D04957">
        <w:rPr>
          <w:rFonts w:cstheme="minorHAnsi"/>
          <w:b/>
          <w:bCs/>
          <w:sz w:val="28"/>
          <w:szCs w:val="28"/>
        </w:rPr>
        <w:t>GRANT PAYMENT PROCESS</w:t>
      </w:r>
    </w:p>
    <w:p w14:paraId="4D6093E2" w14:textId="77777777" w:rsidR="00D04957" w:rsidRPr="00D04957" w:rsidRDefault="00D04957" w:rsidP="009744C2">
      <w:pPr>
        <w:rPr>
          <w:rFonts w:cstheme="minorHAnsi"/>
          <w:b/>
          <w:bCs/>
          <w:sz w:val="28"/>
          <w:szCs w:val="28"/>
        </w:rPr>
      </w:pPr>
    </w:p>
    <w:p w14:paraId="1DEECAAB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Grant funds will be disbursed to an approved county by the State Court</w:t>
      </w:r>
    </w:p>
    <w:p w14:paraId="6CE1B4FF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Administrator’s Office after submission of an implementation report detailing</w:t>
      </w:r>
    </w:p>
    <w:p w14:paraId="29E9814A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completion of the project, which must include a paid invoice as well as a</w:t>
      </w:r>
    </w:p>
    <w:p w14:paraId="7E11C806" w14:textId="77777777" w:rsidR="009744C2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certification that the work is completed. Security Grant Implementation and</w:t>
      </w:r>
    </w:p>
    <w:p w14:paraId="2971868E" w14:textId="0B338DB6" w:rsidR="006D3FB4" w:rsidRPr="009744C2" w:rsidRDefault="009744C2" w:rsidP="009744C2">
      <w:pPr>
        <w:rPr>
          <w:rFonts w:cstheme="minorHAnsi"/>
          <w:sz w:val="28"/>
          <w:szCs w:val="28"/>
        </w:rPr>
      </w:pPr>
      <w:r w:rsidRPr="009744C2">
        <w:rPr>
          <w:rFonts w:cstheme="minorHAnsi"/>
          <w:sz w:val="28"/>
          <w:szCs w:val="28"/>
        </w:rPr>
        <w:t>Certification Form is attached as Appendix D.</w:t>
      </w:r>
    </w:p>
    <w:sectPr w:rsidR="006D3FB4" w:rsidRPr="009744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BCFA" w14:textId="77777777" w:rsidR="0097250A" w:rsidRDefault="0097250A" w:rsidP="004257ED">
      <w:r>
        <w:separator/>
      </w:r>
    </w:p>
  </w:endnote>
  <w:endnote w:type="continuationSeparator" w:id="0">
    <w:p w14:paraId="10546EBE" w14:textId="77777777" w:rsidR="0097250A" w:rsidRDefault="0097250A" w:rsidP="0042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7200" w14:textId="6FEF22E4" w:rsidR="004257ED" w:rsidRPr="00F96595" w:rsidRDefault="004257ED">
    <w:pPr>
      <w:pStyle w:val="Footer"/>
      <w:rPr>
        <w:b/>
        <w:bCs/>
        <w:i/>
        <w:iCs/>
        <w:sz w:val="20"/>
        <w:szCs w:val="20"/>
      </w:rPr>
    </w:pPr>
    <w:r w:rsidRPr="004257ED">
      <w:rPr>
        <w:i/>
        <w:iCs/>
        <w:sz w:val="20"/>
        <w:szCs w:val="20"/>
      </w:rPr>
      <w:t xml:space="preserve">Revised </w:t>
    </w:r>
    <w:r w:rsidR="001C4272">
      <w:rPr>
        <w:b/>
        <w:bCs/>
        <w:i/>
        <w:iCs/>
        <w:sz w:val="20"/>
        <w:szCs w:val="20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37E1" w14:textId="77777777" w:rsidR="0097250A" w:rsidRDefault="0097250A" w:rsidP="004257ED">
      <w:r>
        <w:separator/>
      </w:r>
    </w:p>
  </w:footnote>
  <w:footnote w:type="continuationSeparator" w:id="0">
    <w:p w14:paraId="145157BC" w14:textId="77777777" w:rsidR="0097250A" w:rsidRDefault="0097250A" w:rsidP="0042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613"/>
    <w:multiLevelType w:val="hybridMultilevel"/>
    <w:tmpl w:val="D48C8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D5251"/>
    <w:multiLevelType w:val="hybridMultilevel"/>
    <w:tmpl w:val="8A729E52"/>
    <w:lvl w:ilvl="0" w:tplc="3D7665E2">
      <w:start w:val="1"/>
      <w:numFmt w:val="bullet"/>
      <w:lvlText w:val="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0B1C98"/>
    <w:multiLevelType w:val="hybridMultilevel"/>
    <w:tmpl w:val="6FE082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F11131"/>
    <w:multiLevelType w:val="hybridMultilevel"/>
    <w:tmpl w:val="3EF4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91524"/>
    <w:multiLevelType w:val="hybridMultilevel"/>
    <w:tmpl w:val="8EF4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1792F"/>
    <w:multiLevelType w:val="hybridMultilevel"/>
    <w:tmpl w:val="98068562"/>
    <w:lvl w:ilvl="0" w:tplc="3D7665E2">
      <w:start w:val="1"/>
      <w:numFmt w:val="bullet"/>
      <w:lvlText w:val="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09004B"/>
    <w:multiLevelType w:val="hybridMultilevel"/>
    <w:tmpl w:val="D6C6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B522E"/>
    <w:multiLevelType w:val="hybridMultilevel"/>
    <w:tmpl w:val="E7AA28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3006170">
    <w:abstractNumId w:val="3"/>
  </w:num>
  <w:num w:numId="2" w16cid:durableId="386414096">
    <w:abstractNumId w:val="2"/>
  </w:num>
  <w:num w:numId="3" w16cid:durableId="1177960054">
    <w:abstractNumId w:val="5"/>
  </w:num>
  <w:num w:numId="4" w16cid:durableId="1498954460">
    <w:abstractNumId w:val="1"/>
  </w:num>
  <w:num w:numId="5" w16cid:durableId="1817139069">
    <w:abstractNumId w:val="0"/>
  </w:num>
  <w:num w:numId="6" w16cid:durableId="2146466473">
    <w:abstractNumId w:val="7"/>
  </w:num>
  <w:num w:numId="7" w16cid:durableId="286278273">
    <w:abstractNumId w:val="6"/>
  </w:num>
  <w:num w:numId="8" w16cid:durableId="167178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B2"/>
    <w:rsid w:val="00004DA7"/>
    <w:rsid w:val="0001294D"/>
    <w:rsid w:val="0002797F"/>
    <w:rsid w:val="00037651"/>
    <w:rsid w:val="00053DE8"/>
    <w:rsid w:val="000747D3"/>
    <w:rsid w:val="000853E4"/>
    <w:rsid w:val="000A42D5"/>
    <w:rsid w:val="000F163B"/>
    <w:rsid w:val="00103B6E"/>
    <w:rsid w:val="001217A8"/>
    <w:rsid w:val="001450EB"/>
    <w:rsid w:val="001562C0"/>
    <w:rsid w:val="001C4272"/>
    <w:rsid w:val="001E7F30"/>
    <w:rsid w:val="002A4011"/>
    <w:rsid w:val="002B5A9D"/>
    <w:rsid w:val="002E5221"/>
    <w:rsid w:val="003233CB"/>
    <w:rsid w:val="00394D5D"/>
    <w:rsid w:val="003C15C5"/>
    <w:rsid w:val="00416005"/>
    <w:rsid w:val="004257ED"/>
    <w:rsid w:val="004358B2"/>
    <w:rsid w:val="00446315"/>
    <w:rsid w:val="00450666"/>
    <w:rsid w:val="0048747F"/>
    <w:rsid w:val="00552C5C"/>
    <w:rsid w:val="0059771B"/>
    <w:rsid w:val="005B52B3"/>
    <w:rsid w:val="0063284E"/>
    <w:rsid w:val="00647D46"/>
    <w:rsid w:val="00682A8F"/>
    <w:rsid w:val="006A59A3"/>
    <w:rsid w:val="006B3B81"/>
    <w:rsid w:val="006D3FB4"/>
    <w:rsid w:val="007E08EB"/>
    <w:rsid w:val="008B6E31"/>
    <w:rsid w:val="008D7DC2"/>
    <w:rsid w:val="008E6306"/>
    <w:rsid w:val="00932AAF"/>
    <w:rsid w:val="0097250A"/>
    <w:rsid w:val="009744C2"/>
    <w:rsid w:val="00981C29"/>
    <w:rsid w:val="00984BC0"/>
    <w:rsid w:val="00994F06"/>
    <w:rsid w:val="00A220C5"/>
    <w:rsid w:val="00A46183"/>
    <w:rsid w:val="00A5461E"/>
    <w:rsid w:val="00B417D5"/>
    <w:rsid w:val="00B753CE"/>
    <w:rsid w:val="00BE0500"/>
    <w:rsid w:val="00BF449C"/>
    <w:rsid w:val="00C02379"/>
    <w:rsid w:val="00C2066B"/>
    <w:rsid w:val="00C61096"/>
    <w:rsid w:val="00C823CB"/>
    <w:rsid w:val="00C83874"/>
    <w:rsid w:val="00CD143A"/>
    <w:rsid w:val="00D04957"/>
    <w:rsid w:val="00D253BC"/>
    <w:rsid w:val="00D61902"/>
    <w:rsid w:val="00D64B58"/>
    <w:rsid w:val="00E04273"/>
    <w:rsid w:val="00E05838"/>
    <w:rsid w:val="00E667D1"/>
    <w:rsid w:val="00E94A22"/>
    <w:rsid w:val="00ED63D9"/>
    <w:rsid w:val="00F146F2"/>
    <w:rsid w:val="00F147FF"/>
    <w:rsid w:val="00F434C8"/>
    <w:rsid w:val="00F6120C"/>
    <w:rsid w:val="00F96595"/>
    <w:rsid w:val="00FB63F5"/>
    <w:rsid w:val="00FE73CC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E8C0"/>
  <w15:chartTrackingRefBased/>
  <w15:docId w15:val="{C078B352-4972-4292-8AA5-4BAAF12B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7ED"/>
  </w:style>
  <w:style w:type="paragraph" w:styleId="Footer">
    <w:name w:val="footer"/>
    <w:basedOn w:val="Normal"/>
    <w:link w:val="FooterChar"/>
    <w:uiPriority w:val="99"/>
    <w:unhideWhenUsed/>
    <w:rsid w:val="00425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7ED"/>
  </w:style>
  <w:style w:type="paragraph" w:styleId="Revision">
    <w:name w:val="Revision"/>
    <w:hidden/>
    <w:uiPriority w:val="99"/>
    <w:semiHidden/>
    <w:rsid w:val="00F146F2"/>
  </w:style>
  <w:style w:type="character" w:styleId="CommentReference">
    <w:name w:val="annotation reference"/>
    <w:basedOn w:val="DefaultParagraphFont"/>
    <w:uiPriority w:val="99"/>
    <w:semiHidden/>
    <w:unhideWhenUsed/>
    <w:rsid w:val="006B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B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Sheldon@ujs.state.sd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C422-9D89-45A2-A8BC-DF8A62EE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Sheldon, Scott (UJS)</dc:creator>
  <cp:keywords/>
  <dc:description/>
  <cp:lastModifiedBy>Sheldon, Scott (UJS)</cp:lastModifiedBy>
  <cp:revision>5</cp:revision>
  <dcterms:created xsi:type="dcterms:W3CDTF">2025-06-25T15:10:00Z</dcterms:created>
  <dcterms:modified xsi:type="dcterms:W3CDTF">2025-11-10T19:29:00Z</dcterms:modified>
</cp:coreProperties>
</file>